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12F863B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184F07">
        <w:rPr>
          <w:bCs/>
          <w:noProof w:val="0"/>
          <w:sz w:val="24"/>
          <w:szCs w:val="24"/>
        </w:rPr>
        <w:t>8</w:t>
      </w:r>
      <w:r w:rsidRPr="00B266B0">
        <w:rPr>
          <w:bCs/>
          <w:noProof w:val="0"/>
          <w:sz w:val="24"/>
          <w:szCs w:val="24"/>
        </w:rPr>
        <w:tab/>
      </w:r>
      <w:r w:rsidR="00B50369">
        <w:rPr>
          <w:bCs/>
          <w:noProof w:val="0"/>
          <w:sz w:val="24"/>
          <w:szCs w:val="24"/>
        </w:rPr>
        <w:t>R2-2</w:t>
      </w:r>
      <w:r w:rsidR="00F74086">
        <w:rPr>
          <w:bCs/>
          <w:noProof w:val="0"/>
          <w:sz w:val="24"/>
          <w:szCs w:val="24"/>
        </w:rPr>
        <w:t>4</w:t>
      </w:r>
      <w:r w:rsidR="00AB364C">
        <w:rPr>
          <w:bCs/>
          <w:noProof w:val="0"/>
          <w:sz w:val="24"/>
          <w:szCs w:val="24"/>
        </w:rPr>
        <w:t>10484</w:t>
      </w:r>
    </w:p>
    <w:p w14:paraId="11776FA6" w14:textId="3E3A7A51" w:rsidR="00A209D6" w:rsidRPr="00465587" w:rsidRDefault="00184F07" w:rsidP="00A209D6">
      <w:pPr>
        <w:pStyle w:val="Header"/>
        <w:tabs>
          <w:tab w:val="right" w:pos="9639"/>
        </w:tabs>
        <w:rPr>
          <w:bCs/>
          <w:sz w:val="24"/>
          <w:szCs w:val="24"/>
          <w:lang w:eastAsia="zh-CN"/>
        </w:rPr>
      </w:pPr>
      <w:r>
        <w:rPr>
          <w:bCs/>
          <w:sz w:val="24"/>
          <w:szCs w:val="24"/>
          <w:lang w:eastAsia="zh-CN"/>
        </w:rPr>
        <w:t>Orlando, Florida, USA</w:t>
      </w:r>
      <w:r w:rsidR="003C2C5D">
        <w:rPr>
          <w:bCs/>
          <w:sz w:val="24"/>
          <w:szCs w:val="24"/>
          <w:lang w:eastAsia="zh-CN"/>
        </w:rPr>
        <w:t xml:space="preserve">, </w:t>
      </w:r>
      <w:r w:rsidR="0093241B">
        <w:rPr>
          <w:bCs/>
          <w:sz w:val="24"/>
          <w:szCs w:val="24"/>
          <w:lang w:eastAsia="zh-CN"/>
        </w:rPr>
        <w:t>1</w:t>
      </w:r>
      <w:r>
        <w:rPr>
          <w:bCs/>
          <w:sz w:val="24"/>
          <w:szCs w:val="24"/>
          <w:lang w:eastAsia="zh-CN"/>
        </w:rPr>
        <w:t>8</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37453E">
        <w:rPr>
          <w:bCs/>
          <w:sz w:val="24"/>
          <w:szCs w:val="24"/>
          <w:lang w:eastAsia="zh-CN"/>
        </w:rPr>
        <w:t>2</w:t>
      </w:r>
      <w:r>
        <w:rPr>
          <w:bCs/>
          <w:sz w:val="24"/>
          <w:szCs w:val="24"/>
          <w:lang w:eastAsia="zh-CN"/>
        </w:rPr>
        <w:t>2</w:t>
      </w:r>
      <w:r w:rsidRPr="00184F07">
        <w:rPr>
          <w:bCs/>
          <w:sz w:val="24"/>
          <w:szCs w:val="24"/>
          <w:vertAlign w:val="superscript"/>
          <w:lang w:eastAsia="zh-CN"/>
        </w:rPr>
        <w:t>nd</w:t>
      </w:r>
      <w:r w:rsidR="0037453E">
        <w:rPr>
          <w:bCs/>
          <w:sz w:val="24"/>
          <w:szCs w:val="24"/>
          <w:lang w:eastAsia="zh-CN"/>
        </w:rPr>
        <w:t xml:space="preserve"> </w:t>
      </w:r>
      <w:r>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FD5BC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167">
        <w:rPr>
          <w:rFonts w:cs="Arial"/>
          <w:b/>
          <w:bCs/>
          <w:sz w:val="24"/>
        </w:rPr>
        <w:t>8.9.4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60AFAF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73A7D">
        <w:rPr>
          <w:rFonts w:eastAsia="SimSun"/>
          <w:b/>
          <w:bCs/>
          <w:sz w:val="24"/>
          <w:szCs w:val="20"/>
          <w:lang w:val="en-GB" w:eastAsia="en-US"/>
        </w:rPr>
        <w:t>Discussion on i</w:t>
      </w:r>
      <w:r w:rsidR="00D5475F">
        <w:rPr>
          <w:rFonts w:eastAsia="SimSun"/>
          <w:b/>
          <w:bCs/>
          <w:sz w:val="24"/>
          <w:szCs w:val="20"/>
          <w:lang w:val="en-GB" w:eastAsia="en-US"/>
        </w:rPr>
        <w:t xml:space="preserve">mpact of </w:t>
      </w:r>
      <w:r w:rsidR="005B3A0C">
        <w:rPr>
          <w:rFonts w:eastAsia="SimSun"/>
          <w:b/>
          <w:bCs/>
          <w:sz w:val="24"/>
          <w:szCs w:val="20"/>
          <w:lang w:val="en-GB" w:eastAsia="en-US"/>
        </w:rPr>
        <w:t xml:space="preserve">PWS </w:t>
      </w:r>
      <w:r w:rsidR="00E91949">
        <w:rPr>
          <w:rFonts w:eastAsia="SimSun"/>
          <w:b/>
          <w:bCs/>
          <w:sz w:val="24"/>
          <w:szCs w:val="20"/>
          <w:lang w:val="en-GB" w:eastAsia="en-US"/>
        </w:rPr>
        <w:t>broadcasting</w:t>
      </w:r>
      <w:r w:rsidR="005B3A0C">
        <w:rPr>
          <w:rFonts w:eastAsia="SimSun"/>
          <w:b/>
          <w:bCs/>
          <w:sz w:val="24"/>
          <w:szCs w:val="20"/>
          <w:lang w:val="en-GB" w:eastAsia="en-US"/>
        </w:rPr>
        <w:t xml:space="preserve"> for NB-IoT</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7B3443E" w:rsidR="00F61EF6" w:rsidRDefault="0049280D" w:rsidP="00F61EF6">
      <w:r>
        <w:t>In RAN#10</w:t>
      </w:r>
      <w:r w:rsidR="00DF1167">
        <w:t>5</w:t>
      </w:r>
      <w:r>
        <w:t xml:space="preserve"> the latest WID for IoT NTN Phase 3 is provided [</w:t>
      </w:r>
      <w:r w:rsidR="00C20827">
        <w:t>1</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5B3A0C">
        <w:trPr>
          <w:trHeight w:val="7988"/>
        </w:trPr>
        <w:tc>
          <w:tcPr>
            <w:tcW w:w="9631" w:type="dxa"/>
          </w:tcPr>
          <w:p w14:paraId="36350067" w14:textId="77777777" w:rsidR="00D95760" w:rsidRDefault="00D95760" w:rsidP="00D95760">
            <w:pPr>
              <w:spacing w:after="0"/>
              <w:rPr>
                <w:bCs/>
              </w:rPr>
            </w:pPr>
            <w:r>
              <w:rPr>
                <w:bCs/>
              </w:rPr>
              <w:t>The aim of this WI is enhancement of IoT-NTN with the following objectives:</w:t>
            </w:r>
          </w:p>
          <w:p w14:paraId="2A5D3EB2" w14:textId="77777777" w:rsidR="00D95760" w:rsidRDefault="00D95760" w:rsidP="00D95760">
            <w:pPr>
              <w:spacing w:after="0"/>
              <w:rPr>
                <w:bCs/>
              </w:rPr>
            </w:pPr>
          </w:p>
          <w:p w14:paraId="563AECE2" w14:textId="77777777" w:rsidR="00D95760" w:rsidRPr="0077358C" w:rsidRDefault="00D95760" w:rsidP="00D95760">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2D9E791D" w14:textId="77777777" w:rsidR="00D95760" w:rsidRPr="00702D0A" w:rsidRDefault="00D95760" w:rsidP="00D95760">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11A00C8E" w14:textId="1EA5B484" w:rsidR="00D95760" w:rsidRPr="00D95760" w:rsidRDefault="00D95760" w:rsidP="00D95760">
            <w:pPr>
              <w:numPr>
                <w:ilvl w:val="2"/>
                <w:numId w:val="9"/>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7750F9E9" w14:textId="7FA0C2CC" w:rsidR="00D95760" w:rsidRPr="00702D0A" w:rsidRDefault="00D95760" w:rsidP="00D95760">
            <w:pPr>
              <w:spacing w:after="0"/>
              <w:ind w:left="720"/>
              <w:rPr>
                <w:bCs/>
              </w:rPr>
            </w:pPr>
            <w:r w:rsidRPr="00702D0A">
              <w:rPr>
                <w:bCs/>
              </w:rPr>
              <w:t>Note: Strive to minimise UE impact.</w:t>
            </w:r>
          </w:p>
          <w:p w14:paraId="534CF583" w14:textId="32EA2720" w:rsidR="00D95760" w:rsidRDefault="00D95760" w:rsidP="00D95760">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A738AD1" w14:textId="77777777" w:rsidR="00D95760" w:rsidRDefault="00D95760" w:rsidP="00D95760">
            <w:pPr>
              <w:spacing w:after="0"/>
              <w:ind w:left="1440"/>
              <w:rPr>
                <w:bCs/>
              </w:rPr>
            </w:pPr>
          </w:p>
          <w:p w14:paraId="4DA140CD" w14:textId="5468B858" w:rsidR="00D95760" w:rsidRPr="00702D0A" w:rsidRDefault="00D95760" w:rsidP="00D95760">
            <w:pPr>
              <w:numPr>
                <w:ilvl w:val="0"/>
                <w:numId w:val="9"/>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338AC0AE" w14:textId="40BB76A6" w:rsidR="00D95760" w:rsidRPr="00D95760" w:rsidRDefault="00D95760" w:rsidP="00D95760">
            <w:pPr>
              <w:numPr>
                <w:ilvl w:val="1"/>
                <w:numId w:val="9"/>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6D0EAD59" w14:textId="77777777" w:rsidR="00D95760" w:rsidRDefault="00D95760" w:rsidP="00D95760">
            <w:pPr>
              <w:numPr>
                <w:ilvl w:val="2"/>
                <w:numId w:val="9"/>
              </w:numPr>
              <w:overflowPunct w:val="0"/>
              <w:autoSpaceDE w:val="0"/>
              <w:autoSpaceDN w:val="0"/>
              <w:adjustRightInd w:val="0"/>
              <w:spacing w:after="0"/>
              <w:textAlignment w:val="baseline"/>
              <w:rPr>
                <w:bCs/>
              </w:rPr>
            </w:pPr>
            <w:r w:rsidRPr="00702D0A">
              <w:rPr>
                <w:bCs/>
              </w:rPr>
              <w:t>Multi-tone support for 15 kHz SCS should also be considered</w:t>
            </w:r>
          </w:p>
          <w:p w14:paraId="671D1CE0" w14:textId="77777777" w:rsidR="00D95760" w:rsidRPr="00EC6A26" w:rsidRDefault="00D95760" w:rsidP="00D95760">
            <w:pPr>
              <w:numPr>
                <w:ilvl w:val="2"/>
                <w:numId w:val="9"/>
              </w:numPr>
              <w:overflowPunct w:val="0"/>
              <w:autoSpaceDE w:val="0"/>
              <w:autoSpaceDN w:val="0"/>
              <w:adjustRightInd w:val="0"/>
              <w:spacing w:after="0"/>
              <w:textAlignment w:val="baseline"/>
              <w:rPr>
                <w:bCs/>
              </w:rPr>
            </w:pPr>
            <w:r w:rsidRPr="00EC6A26">
              <w:rPr>
                <w:bCs/>
              </w:rPr>
              <w:t xml:space="preserve">Specify necessary signalling, if needed </w:t>
            </w:r>
          </w:p>
          <w:p w14:paraId="3996C568" w14:textId="44587FEB" w:rsidR="00D95760" w:rsidRPr="00D95760" w:rsidRDefault="00D95760" w:rsidP="00D95760">
            <w:pPr>
              <w:numPr>
                <w:ilvl w:val="2"/>
                <w:numId w:val="9"/>
              </w:numPr>
              <w:overflowPunct w:val="0"/>
              <w:autoSpaceDE w:val="0"/>
              <w:autoSpaceDN w:val="0"/>
              <w:adjustRightInd w:val="0"/>
              <w:spacing w:after="0"/>
              <w:textAlignment w:val="baseline"/>
              <w:rPr>
                <w:bCs/>
              </w:rPr>
            </w:pPr>
            <w:r w:rsidRPr="00EC6A26">
              <w:rPr>
                <w:bCs/>
              </w:rPr>
              <w:t>Update RF requirements accordingly, if needed</w:t>
            </w:r>
          </w:p>
          <w:p w14:paraId="68200291" w14:textId="77777777" w:rsidR="00D95760" w:rsidRPr="00947442" w:rsidRDefault="00D95760" w:rsidP="00D95760">
            <w:pPr>
              <w:spacing w:after="0"/>
              <w:ind w:left="1080" w:firstLine="720"/>
              <w:rPr>
                <w:bCs/>
              </w:rPr>
            </w:pPr>
            <w:bookmarkStart w:id="5" w:name="OLE_LINK24"/>
            <w:r w:rsidRPr="00947442">
              <w:rPr>
                <w:bCs/>
              </w:rPr>
              <w:t>Note: Impact of impairment shall be taken into account</w:t>
            </w:r>
          </w:p>
          <w:bookmarkEnd w:id="5"/>
          <w:p w14:paraId="7C322DDE" w14:textId="2561C6C3" w:rsidR="00D95760" w:rsidRDefault="00D95760" w:rsidP="00D95760">
            <w:pPr>
              <w:spacing w:after="0"/>
              <w:ind w:left="1080" w:firstLine="720"/>
              <w:rPr>
                <w:bCs/>
                <w:i/>
                <w:iCs/>
              </w:rPr>
            </w:pPr>
          </w:p>
          <w:p w14:paraId="2C169BFB" w14:textId="77777777" w:rsidR="00D95760" w:rsidRPr="00EE0477" w:rsidRDefault="00D95760" w:rsidP="00D95760">
            <w:pPr>
              <w:numPr>
                <w:ilvl w:val="1"/>
                <w:numId w:val="9"/>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7A6AA93F" w14:textId="77777777" w:rsidR="00D95760" w:rsidRPr="00EE0477" w:rsidRDefault="00D95760" w:rsidP="00D95760">
            <w:pPr>
              <w:numPr>
                <w:ilvl w:val="2"/>
                <w:numId w:val="9"/>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68EBD783" w14:textId="77777777" w:rsidR="00D95760" w:rsidRDefault="00D95760" w:rsidP="00D95760">
            <w:pPr>
              <w:numPr>
                <w:ilvl w:val="2"/>
                <w:numId w:val="9"/>
              </w:numPr>
              <w:overflowPunct w:val="0"/>
              <w:autoSpaceDE w:val="0"/>
              <w:autoSpaceDN w:val="0"/>
              <w:adjustRightInd w:val="0"/>
              <w:spacing w:after="0"/>
              <w:textAlignment w:val="baseline"/>
              <w:rPr>
                <w:bCs/>
              </w:rPr>
            </w:pPr>
            <w:r w:rsidRPr="00EE0477">
              <w:rPr>
                <w:bCs/>
              </w:rPr>
              <w:t>Efficient delivery (reduced overhead) of msg4 / RRCEarlyDataComplete</w:t>
            </w:r>
          </w:p>
          <w:p w14:paraId="31773B99" w14:textId="200A31FD" w:rsidR="00D95760" w:rsidRPr="00D95760" w:rsidRDefault="00D95760" w:rsidP="00D95760">
            <w:pPr>
              <w:numPr>
                <w:ilvl w:val="2"/>
                <w:numId w:val="9"/>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463629AF" w14:textId="77777777" w:rsidR="00D95760" w:rsidRPr="00D75BCD" w:rsidRDefault="00D95760" w:rsidP="00D95760">
            <w:pPr>
              <w:numPr>
                <w:ilvl w:val="0"/>
                <w:numId w:val="10"/>
              </w:numPr>
              <w:overflowPunct w:val="0"/>
              <w:autoSpaceDE w:val="0"/>
              <w:autoSpaceDN w:val="0"/>
              <w:adjustRightInd w:val="0"/>
              <w:spacing w:after="0"/>
              <w:textAlignment w:val="baseline"/>
              <w:rPr>
                <w:bCs/>
              </w:rPr>
            </w:pPr>
            <w:bookmarkStart w:id="8" w:name="OLE_LINK79"/>
            <w:r w:rsidRPr="00D75BCD">
              <w:rPr>
                <w:bCs/>
              </w:rPr>
              <w:t>Support broadcast of PWS messages for NB-IoT re-using the LTE mechanisms [RAN2]</w:t>
            </w:r>
            <w:bookmarkEnd w:id="8"/>
          </w:p>
          <w:p w14:paraId="7864B241" w14:textId="4385CE6A" w:rsidR="00D95760" w:rsidRDefault="00D95760" w:rsidP="00D95760">
            <w:pPr>
              <w:spacing w:after="0"/>
              <w:ind w:left="720"/>
              <w:rPr>
                <w:bCs/>
              </w:rPr>
            </w:pPr>
            <w:r>
              <w:rPr>
                <w:bCs/>
              </w:rPr>
              <w:t xml:space="preserve">Note: </w:t>
            </w:r>
            <w:bookmarkStart w:id="9" w:name="OLE_LINK22"/>
            <w:r w:rsidRPr="006648AB">
              <w:rPr>
                <w:bCs/>
              </w:rPr>
              <w:t>The solutions will be developed for NTN but can be applicable to TN (if possible</w:t>
            </w:r>
            <w:bookmarkEnd w:id="9"/>
            <w:r w:rsidRPr="006648AB">
              <w:rPr>
                <w:bCs/>
              </w:rPr>
              <w:t xml:space="preserve">). </w:t>
            </w:r>
            <w:bookmarkStart w:id="10" w:name="OLE_LINK25"/>
            <w:r w:rsidRPr="006648AB">
              <w:rPr>
                <w:bCs/>
              </w:rPr>
              <w:t>Specific NB-IoT TN optimizations will not be considered as part of this WI</w:t>
            </w:r>
            <w:bookmarkEnd w:id="10"/>
            <w:r w:rsidRPr="006648AB">
              <w:rPr>
                <w:bCs/>
              </w:rPr>
              <w:t>.</w:t>
            </w:r>
          </w:p>
          <w:p w14:paraId="3F5AE005" w14:textId="0FB81E3B" w:rsidR="00C702D5" w:rsidRPr="0049280D" w:rsidRDefault="00D95760" w:rsidP="00D95760">
            <w:pPr>
              <w:spacing w:after="0"/>
              <w:ind w:left="720"/>
              <w:rPr>
                <w:bCs/>
              </w:rPr>
            </w:pPr>
            <w:r>
              <w:rPr>
                <w:bCs/>
              </w:rPr>
              <w:t xml:space="preserve">Note: </w:t>
            </w:r>
            <w:bookmarkStart w:id="11" w:name="OLE_LINK31"/>
            <w:bookmarkStart w:id="12" w:name="OLE_LINK28"/>
            <w:r w:rsidRPr="00AB68A3">
              <w:rPr>
                <w:bCs/>
              </w:rPr>
              <w:t xml:space="preserve">Support for </w:t>
            </w:r>
            <w:bookmarkStart w:id="13" w:name="OLE_LINK32"/>
            <w:r w:rsidRPr="00AB68A3">
              <w:rPr>
                <w:bCs/>
              </w:rPr>
              <w:t>indication of intended service area</w:t>
            </w:r>
            <w:bookmarkEnd w:id="13"/>
            <w:r w:rsidRPr="00AB68A3">
              <w:rPr>
                <w:bCs/>
              </w:rPr>
              <w:t xml:space="preserve"> </w:t>
            </w:r>
            <w:bookmarkEnd w:id="11"/>
            <w:r>
              <w:rPr>
                <w:bCs/>
              </w:rPr>
              <w:t xml:space="preserve">for ETWS </w:t>
            </w:r>
            <w:r w:rsidRPr="00AB68A3">
              <w:rPr>
                <w:bCs/>
              </w:rPr>
              <w:t>will be considered based on NR NTN discussions</w:t>
            </w:r>
            <w:bookmarkEnd w:id="12"/>
            <w:r w:rsidRPr="00AB68A3">
              <w:rPr>
                <w:bCs/>
              </w:rPr>
              <w:t xml:space="preserve">/outcome. </w:t>
            </w:r>
          </w:p>
        </w:tc>
      </w:tr>
    </w:tbl>
    <w:p w14:paraId="2F01C903" w14:textId="0A5BFFC2" w:rsidR="00C25AEA" w:rsidRDefault="00C25AEA" w:rsidP="00F00A10"/>
    <w:p w14:paraId="66CEE32F" w14:textId="0406F847" w:rsidR="00F00A10" w:rsidRPr="00F97E01" w:rsidRDefault="00C702D5" w:rsidP="00F00A10">
      <w:pPr>
        <w:rPr>
          <w:lang w:eastAsia="ko-KR"/>
        </w:rPr>
      </w:pPr>
      <w:r>
        <w:t xml:space="preserve">In this contribution, </w:t>
      </w:r>
      <w:r w:rsidR="007C5B71">
        <w:t xml:space="preserve">we provide some </w:t>
      </w:r>
      <w:r w:rsidR="0051202F">
        <w:t xml:space="preserve">discussions related to </w:t>
      </w:r>
      <w:r w:rsidR="00DF1167">
        <w:t xml:space="preserve">PWS </w:t>
      </w:r>
      <w:r w:rsidR="00E91949">
        <w:t>broadcasting</w:t>
      </w:r>
      <w:r w:rsidR="00DF1167">
        <w:t xml:space="preserve"> for NB-IoT. </w:t>
      </w:r>
      <w:r w:rsidR="0051202F">
        <w:t xml:space="preserve">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E105DFE" w14:textId="1BC045E7" w:rsidR="00184F07" w:rsidRDefault="00184F07" w:rsidP="00AF4DB9">
      <w:pPr>
        <w:pStyle w:val="PatentBody"/>
        <w:numPr>
          <w:ilvl w:val="0"/>
          <w:numId w:val="0"/>
        </w:numPr>
        <w:spacing w:after="180" w:line="240" w:lineRule="auto"/>
        <w:jc w:val="both"/>
        <w:rPr>
          <w:sz w:val="20"/>
        </w:rPr>
      </w:pPr>
      <w:r>
        <w:rPr>
          <w:sz w:val="20"/>
        </w:rPr>
        <w:t xml:space="preserve">RAN2#127bis agreements: </w:t>
      </w:r>
    </w:p>
    <w:p w14:paraId="5D458B6C" w14:textId="77777777" w:rsidR="00184F07" w:rsidRPr="00184F07" w:rsidRDefault="00184F07" w:rsidP="00184F07">
      <w:pPr>
        <w:pStyle w:val="Doc-text2"/>
        <w:pBdr>
          <w:top w:val="single" w:sz="4" w:space="1" w:color="auto"/>
          <w:left w:val="single" w:sz="4" w:space="4" w:color="auto"/>
          <w:bottom w:val="single" w:sz="4" w:space="1" w:color="auto"/>
          <w:right w:val="single" w:sz="4" w:space="4" w:color="auto"/>
        </w:pBdr>
        <w:rPr>
          <w:b/>
        </w:rPr>
      </w:pPr>
      <w:r w:rsidRPr="00184F07">
        <w:rPr>
          <w:b/>
        </w:rPr>
        <w:lastRenderedPageBreak/>
        <w:t>Agreements:</w:t>
      </w:r>
    </w:p>
    <w:p w14:paraId="5002A73E"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10D6DCC7"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2.</w:t>
      </w:r>
      <w:r>
        <w:tab/>
      </w:r>
      <w:r w:rsidRPr="001B624E">
        <w:t xml:space="preserve">The </w:t>
      </w:r>
      <w:r>
        <w:t xml:space="preserve">support for PWS introduced for </w:t>
      </w:r>
      <w:r w:rsidRPr="001B624E">
        <w:t xml:space="preserve">NB-IoT </w:t>
      </w:r>
      <w:r>
        <w:t>NTN c</w:t>
      </w:r>
      <w:r w:rsidRPr="001B624E">
        <w:t xml:space="preserve">an also be </w:t>
      </w:r>
      <w:r>
        <w:t>made applicable for NB-IoT in TN, if this does not require additional NB-IoT TN specific changes.</w:t>
      </w:r>
    </w:p>
    <w:p w14:paraId="1DE07D4F"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48341052"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ab/>
        <w:t>- SystemInformationBlockType10-NB for primary ETWS notification;</w:t>
      </w:r>
    </w:p>
    <w:p w14:paraId="106304B7"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ab/>
        <w:t>- SystemInformationBlockType11-NB for secondary ETWS notification;</w:t>
      </w:r>
    </w:p>
    <w:p w14:paraId="41B89BAD"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6239025A"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401C33FA"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ab/>
        <w:t>- etws-Indication;</w:t>
      </w:r>
    </w:p>
    <w:p w14:paraId="1502CC46"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ab/>
        <w:t>- cmas-Indication.</w:t>
      </w:r>
    </w:p>
    <w:p w14:paraId="276353BA"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5.</w:t>
      </w:r>
      <w:r>
        <w:tab/>
      </w:r>
      <w:r w:rsidRPr="008E7A83">
        <w:t>Upon receiving the PWS notification from NB-IoT cell, the PWS-capable NB-IoT UE acquires the corres</w:t>
      </w:r>
      <w:r>
        <w:t>ponding PWS message immediately (can come back to clarify further what immediately means)</w:t>
      </w:r>
    </w:p>
    <w:p w14:paraId="288FC630" w14:textId="77777777" w:rsidR="00184F07" w:rsidRDefault="00184F07" w:rsidP="00184F07">
      <w:pPr>
        <w:pStyle w:val="Doc-text2"/>
        <w:pBdr>
          <w:top w:val="single" w:sz="4" w:space="1" w:color="auto"/>
          <w:left w:val="single" w:sz="4" w:space="4" w:color="auto"/>
          <w:bottom w:val="single" w:sz="4" w:space="1" w:color="auto"/>
          <w:right w:val="single" w:sz="4" w:space="4" w:color="auto"/>
        </w:pBdr>
      </w:pPr>
      <w:r>
        <w:t>6.</w:t>
      </w:r>
      <w:r>
        <w:tab/>
      </w:r>
      <w:r w:rsidRPr="0025272F">
        <w:t xml:space="preserve">Clarify </w:t>
      </w:r>
      <w:r>
        <w:t xml:space="preserve">in the spec (and at least in 36.300) </w:t>
      </w:r>
      <w:r w:rsidRPr="0025272F">
        <w:t xml:space="preserve">that for NB-IoT the ETWS, CMAS, PWS requirement may not be met </w:t>
      </w:r>
      <w:r>
        <w:t>in some scenarios, e.g. when the UE is in eDRX (can come back to further clarify the specific cases)</w:t>
      </w:r>
    </w:p>
    <w:p w14:paraId="40060E8C" w14:textId="77777777" w:rsidR="00184F07" w:rsidRDefault="00184F07" w:rsidP="00AF4DB9">
      <w:pPr>
        <w:pStyle w:val="PatentBody"/>
        <w:numPr>
          <w:ilvl w:val="0"/>
          <w:numId w:val="0"/>
        </w:numPr>
        <w:spacing w:after="180" w:line="240" w:lineRule="auto"/>
        <w:jc w:val="both"/>
        <w:rPr>
          <w:sz w:val="20"/>
        </w:rPr>
      </w:pPr>
    </w:p>
    <w:p w14:paraId="6DB675FF" w14:textId="49B3D878" w:rsidR="007C5B71" w:rsidRDefault="00DF1167" w:rsidP="007C5B71">
      <w:pPr>
        <w:pStyle w:val="Heading2"/>
      </w:pPr>
      <w:r>
        <w:t xml:space="preserve">PWS </w:t>
      </w:r>
      <w:r w:rsidR="00E91949">
        <w:t>broadcasting</w:t>
      </w:r>
      <w:r>
        <w:t xml:space="preserve"> in LTE</w:t>
      </w:r>
    </w:p>
    <w:p w14:paraId="0681D4FA" w14:textId="38F1B6EF" w:rsidR="0025487E" w:rsidRDefault="00DF1167" w:rsidP="00DF1167">
      <w:pPr>
        <w:pStyle w:val="PatentBody"/>
        <w:numPr>
          <w:ilvl w:val="0"/>
          <w:numId w:val="0"/>
        </w:numPr>
        <w:spacing w:after="180" w:line="240" w:lineRule="auto"/>
        <w:jc w:val="both"/>
        <w:rPr>
          <w:sz w:val="20"/>
        </w:rPr>
      </w:pPr>
      <w:r>
        <w:rPr>
          <w:sz w:val="20"/>
        </w:rPr>
        <w:t>Public Warning System</w:t>
      </w:r>
      <w:r w:rsidR="00D95760">
        <w:rPr>
          <w:sz w:val="20"/>
        </w:rPr>
        <w:t xml:space="preserve"> indication have been introduced in LTE from the very first releases. </w:t>
      </w:r>
    </w:p>
    <w:p w14:paraId="2C03BC60" w14:textId="5C8C0C2F" w:rsidR="00D95760" w:rsidRDefault="00D95760" w:rsidP="00DF1167">
      <w:pPr>
        <w:pStyle w:val="PatentBody"/>
        <w:numPr>
          <w:ilvl w:val="0"/>
          <w:numId w:val="0"/>
        </w:numPr>
        <w:spacing w:after="180" w:line="240" w:lineRule="auto"/>
        <w:jc w:val="both"/>
        <w:rPr>
          <w:sz w:val="20"/>
        </w:rPr>
      </w:pPr>
      <w:r>
        <w:rPr>
          <w:sz w:val="20"/>
        </w:rPr>
        <w:t xml:space="preserve">Earthquake </w:t>
      </w:r>
      <w:r w:rsidR="00492A25">
        <w:rPr>
          <w:sz w:val="20"/>
        </w:rPr>
        <w:t xml:space="preserve">Tsunami Warning System (ETWS) was introduced in Release 8 LTE and is also supported for LTE-M. The ETWS is indicated via SIB10 and SIB11, where the SIB10 provides the primary indication and SIB11 provides secondary notification. </w:t>
      </w:r>
    </w:p>
    <w:p w14:paraId="0F4DCBBB" w14:textId="62B1E82F" w:rsidR="00DF1167" w:rsidRDefault="00492A25" w:rsidP="00DF1167">
      <w:pPr>
        <w:pStyle w:val="PatentBody"/>
        <w:numPr>
          <w:ilvl w:val="0"/>
          <w:numId w:val="0"/>
        </w:numPr>
        <w:spacing w:after="180" w:line="240" w:lineRule="auto"/>
        <w:jc w:val="both"/>
        <w:rPr>
          <w:sz w:val="20"/>
        </w:rPr>
      </w:pPr>
      <w:r>
        <w:rPr>
          <w:sz w:val="20"/>
        </w:rPr>
        <w:t>Commercial Mass Alert System (</w:t>
      </w:r>
      <w:r w:rsidR="00A554CA">
        <w:rPr>
          <w:sz w:val="20"/>
        </w:rPr>
        <w:t>CMAS</w:t>
      </w:r>
      <w:r>
        <w:rPr>
          <w:sz w:val="20"/>
        </w:rPr>
        <w:t>) was introduced in Release 9 LTE and is also supported for LTE-M. The CMAS is indicated via SIB12</w:t>
      </w:r>
      <w:r w:rsidR="00A554CA">
        <w:rPr>
          <w:sz w:val="20"/>
        </w:rPr>
        <w:t xml:space="preserve">. </w:t>
      </w:r>
    </w:p>
    <w:p w14:paraId="5E252B7D" w14:textId="069CB9C8" w:rsidR="008B4395" w:rsidRPr="008B4395" w:rsidRDefault="008B4395" w:rsidP="008B4395">
      <w:pPr>
        <w:spacing w:after="60"/>
        <w:rPr>
          <w:lang w:val="en-GB" w:eastAsia="en-US"/>
        </w:rPr>
      </w:pPr>
      <w:r>
        <w:rPr>
          <w:b/>
        </w:rPr>
        <w:t xml:space="preserve">Observation 1: PWS is </w:t>
      </w:r>
      <w:r w:rsidR="00185529">
        <w:rPr>
          <w:b/>
        </w:rPr>
        <w:t>broadcasted</w:t>
      </w:r>
      <w:r>
        <w:rPr>
          <w:b/>
        </w:rPr>
        <w:t xml:space="preserve"> via ETWS in SIB10 and SIB11 and CMAS in SIB12. </w:t>
      </w:r>
    </w:p>
    <w:p w14:paraId="33491959" w14:textId="43F38EDE" w:rsidR="003E45E3" w:rsidRDefault="00A554CA" w:rsidP="00AF4DB9">
      <w:pPr>
        <w:pStyle w:val="PatentBody"/>
        <w:numPr>
          <w:ilvl w:val="0"/>
          <w:numId w:val="0"/>
        </w:numPr>
        <w:spacing w:after="180" w:line="240" w:lineRule="auto"/>
        <w:jc w:val="both"/>
        <w:rPr>
          <w:sz w:val="20"/>
        </w:rPr>
      </w:pPr>
      <w:r>
        <w:rPr>
          <w:sz w:val="20"/>
        </w:rPr>
        <w:t xml:space="preserve">In LTE there are two ways in which PWS signalling may be indicated. For normal LTE devices, i.e non-eMTC devices, ETWS or CMAS is indicated via Paging, where the UE is indicated in the Paging RRC message whether ETWS or CMAS is being broadcasted. </w:t>
      </w:r>
      <w:r w:rsidR="00C87596">
        <w:rPr>
          <w:sz w:val="20"/>
        </w:rPr>
        <w:t xml:space="preserve">Thus the UE monitors for P-RNTI and once a Paging message is received, a flag indicates either ETWS or CMAS. </w:t>
      </w:r>
      <w:r>
        <w:rPr>
          <w:sz w:val="20"/>
        </w:rPr>
        <w:t>For eMTC, Direct Indication is supported. Direct Indication is an 8-bit message that is inserted directly into the PDCCH message</w:t>
      </w:r>
      <w:r w:rsidR="00C87596">
        <w:rPr>
          <w:sz w:val="20"/>
        </w:rPr>
        <w:t xml:space="preserve"> with a specific format</w:t>
      </w:r>
      <w:r>
        <w:rPr>
          <w:sz w:val="20"/>
        </w:rPr>
        <w:t xml:space="preserve">, which means that the UE does not need to acquire the corresponding PDCCH message. </w:t>
      </w:r>
      <w:r w:rsidR="00C87596">
        <w:rPr>
          <w:sz w:val="20"/>
        </w:rPr>
        <w:t xml:space="preserve">The eMTC UE monitors P-RNTI or SI-RNTI to receive the Direct Indication. </w:t>
      </w:r>
      <w:r w:rsidR="006563B9">
        <w:rPr>
          <w:sz w:val="20"/>
        </w:rPr>
        <w:t xml:space="preserve">P-RNTI is monitored in RRC_IDLE and SI-RNTI is monitored in RRC_CONNECTED. This is because originally eMTC was not specified to be required to monitor P-RNTI in connected mode, but in release 16 it was agreed to support PWS indication in connected mode. Instead of monitoring the P-RNTI, a new SI-RNTI and a new Direct Indication was introduced. </w:t>
      </w:r>
      <w:r>
        <w:rPr>
          <w:sz w:val="20"/>
        </w:rPr>
        <w:t>The Direction Indication has 1-bit flags that indicate whether CMAS or CMAS is indicated. System information update may also be indicated via</w:t>
      </w:r>
      <w:r w:rsidR="00C87596">
        <w:rPr>
          <w:sz w:val="20"/>
        </w:rPr>
        <w:t xml:space="preserve"> the</w:t>
      </w:r>
      <w:r>
        <w:rPr>
          <w:sz w:val="20"/>
        </w:rPr>
        <w:t xml:space="preserve"> Direct Indication. </w:t>
      </w:r>
      <w:r w:rsidR="00C87596">
        <w:rPr>
          <w:sz w:val="20"/>
        </w:rPr>
        <w:t xml:space="preserve">The Direct Indication was also adopted for 5G NR. </w:t>
      </w:r>
    </w:p>
    <w:p w14:paraId="0CE010E5" w14:textId="49735C52" w:rsidR="008B4395" w:rsidRPr="008B4395" w:rsidRDefault="008B4395" w:rsidP="008B4395">
      <w:pPr>
        <w:spacing w:after="60"/>
        <w:rPr>
          <w:lang w:val="en-GB" w:eastAsia="en-US"/>
        </w:rPr>
      </w:pPr>
      <w:r>
        <w:rPr>
          <w:b/>
        </w:rPr>
        <w:t xml:space="preserve">Observation 2: </w:t>
      </w:r>
      <w:r w:rsidR="006563B9">
        <w:rPr>
          <w:b/>
        </w:rPr>
        <w:t xml:space="preserve">eMTC </w:t>
      </w:r>
      <w:r>
        <w:rPr>
          <w:b/>
        </w:rPr>
        <w:t>UE monitors P-RNTI for ETWS and CMAS indication in RRC idle and</w:t>
      </w:r>
      <w:r w:rsidR="006563B9">
        <w:rPr>
          <w:b/>
        </w:rPr>
        <w:t xml:space="preserve"> </w:t>
      </w:r>
      <w:r>
        <w:rPr>
          <w:b/>
        </w:rPr>
        <w:t xml:space="preserve"> monitors SI-RNTI in connected mode. </w:t>
      </w:r>
    </w:p>
    <w:p w14:paraId="0B22D948" w14:textId="26E93D98" w:rsidR="00E91949" w:rsidRDefault="00E91949" w:rsidP="00AF4DB9">
      <w:pPr>
        <w:pStyle w:val="PatentBody"/>
        <w:numPr>
          <w:ilvl w:val="0"/>
          <w:numId w:val="0"/>
        </w:numPr>
        <w:spacing w:after="180" w:line="240" w:lineRule="auto"/>
        <w:jc w:val="both"/>
        <w:rPr>
          <w:sz w:val="20"/>
        </w:rPr>
      </w:pPr>
    </w:p>
    <w:p w14:paraId="006AF137" w14:textId="640C6740" w:rsidR="004B521A" w:rsidRPr="0025487E" w:rsidRDefault="004B521A" w:rsidP="004B521A">
      <w:pPr>
        <w:pStyle w:val="Heading2"/>
      </w:pPr>
      <w:r>
        <w:t>General procedures</w:t>
      </w:r>
    </w:p>
    <w:p w14:paraId="4CECFF9F" w14:textId="4AC276BC" w:rsidR="004B521A" w:rsidRDefault="004B521A" w:rsidP="00AF4DB9">
      <w:pPr>
        <w:pStyle w:val="PatentBody"/>
        <w:numPr>
          <w:ilvl w:val="0"/>
          <w:numId w:val="0"/>
        </w:numPr>
        <w:spacing w:after="180" w:line="240" w:lineRule="auto"/>
        <w:jc w:val="both"/>
        <w:rPr>
          <w:sz w:val="20"/>
        </w:rPr>
      </w:pPr>
      <w:r>
        <w:rPr>
          <w:sz w:val="20"/>
        </w:rPr>
        <w:t xml:space="preserve">In the last meeting the following was agreed: </w:t>
      </w:r>
    </w:p>
    <w:p w14:paraId="09436C64" w14:textId="77777777" w:rsidR="004B521A" w:rsidRDefault="004B521A" w:rsidP="004B521A">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w:t>
      </w:r>
      <w:r w:rsidRPr="0071198E">
        <w:rPr>
          <w:highlight w:val="yellow"/>
        </w:rPr>
        <w:t>IoT (Come back in the next meeting on whether this is also added in Paging-NB)</w:t>
      </w:r>
      <w:r>
        <w:t>:</w:t>
      </w:r>
    </w:p>
    <w:p w14:paraId="7AA1F7B7" w14:textId="77777777" w:rsidR="004B521A" w:rsidRDefault="004B521A" w:rsidP="004B521A">
      <w:pPr>
        <w:pStyle w:val="Doc-text2"/>
        <w:pBdr>
          <w:top w:val="single" w:sz="4" w:space="1" w:color="auto"/>
          <w:left w:val="single" w:sz="4" w:space="4" w:color="auto"/>
          <w:bottom w:val="single" w:sz="4" w:space="1" w:color="auto"/>
          <w:right w:val="single" w:sz="4" w:space="4" w:color="auto"/>
        </w:pBdr>
      </w:pPr>
      <w:r>
        <w:tab/>
        <w:t>- etws-Indication;</w:t>
      </w:r>
    </w:p>
    <w:p w14:paraId="32A91AF2" w14:textId="77777777" w:rsidR="004B521A" w:rsidRDefault="004B521A" w:rsidP="004B521A">
      <w:pPr>
        <w:pStyle w:val="Doc-text2"/>
        <w:pBdr>
          <w:top w:val="single" w:sz="4" w:space="1" w:color="auto"/>
          <w:left w:val="single" w:sz="4" w:space="4" w:color="auto"/>
          <w:bottom w:val="single" w:sz="4" w:space="1" w:color="auto"/>
          <w:right w:val="single" w:sz="4" w:space="4" w:color="auto"/>
        </w:pBdr>
      </w:pPr>
      <w:r>
        <w:tab/>
        <w:t>- cmas-Indication.</w:t>
      </w:r>
    </w:p>
    <w:p w14:paraId="073FC3D9" w14:textId="344907D1" w:rsidR="004B521A" w:rsidRDefault="004B521A" w:rsidP="00AF4DB9">
      <w:pPr>
        <w:pStyle w:val="PatentBody"/>
        <w:numPr>
          <w:ilvl w:val="0"/>
          <w:numId w:val="0"/>
        </w:numPr>
        <w:spacing w:after="180" w:line="240" w:lineRule="auto"/>
        <w:jc w:val="both"/>
        <w:rPr>
          <w:sz w:val="20"/>
        </w:rPr>
      </w:pPr>
    </w:p>
    <w:p w14:paraId="70BDA84D" w14:textId="16EC1248" w:rsidR="004B521A" w:rsidRDefault="004B521A" w:rsidP="00AF4DB9">
      <w:pPr>
        <w:pStyle w:val="PatentBody"/>
        <w:numPr>
          <w:ilvl w:val="0"/>
          <w:numId w:val="0"/>
        </w:numPr>
        <w:spacing w:after="180" w:line="240" w:lineRule="auto"/>
        <w:jc w:val="both"/>
        <w:rPr>
          <w:sz w:val="20"/>
        </w:rPr>
      </w:pPr>
      <w:r>
        <w:rPr>
          <w:sz w:val="20"/>
        </w:rPr>
        <w:lastRenderedPageBreak/>
        <w:t xml:space="preserve">The question is whether the </w:t>
      </w:r>
      <w:r w:rsidR="006555B6" w:rsidRPr="006555B6">
        <w:rPr>
          <w:i/>
          <w:sz w:val="20"/>
        </w:rPr>
        <w:t xml:space="preserve">etws-Indication </w:t>
      </w:r>
      <w:r w:rsidR="006555B6">
        <w:rPr>
          <w:sz w:val="20"/>
        </w:rPr>
        <w:t xml:space="preserve">and </w:t>
      </w:r>
      <w:r w:rsidR="006555B6" w:rsidRPr="006555B6">
        <w:rPr>
          <w:i/>
          <w:sz w:val="20"/>
        </w:rPr>
        <w:t>cmas-Indication</w:t>
      </w:r>
      <w:r>
        <w:rPr>
          <w:sz w:val="20"/>
        </w:rPr>
        <w:t xml:space="preserve"> shall be added in Paging-NB or not. </w:t>
      </w:r>
    </w:p>
    <w:p w14:paraId="6A898A73" w14:textId="4FB0FC1E" w:rsidR="0071198E" w:rsidRDefault="0071198E" w:rsidP="00AF4DB9">
      <w:pPr>
        <w:pStyle w:val="PatentBody"/>
        <w:numPr>
          <w:ilvl w:val="0"/>
          <w:numId w:val="0"/>
        </w:numPr>
        <w:spacing w:after="180" w:line="240" w:lineRule="auto"/>
        <w:jc w:val="both"/>
        <w:rPr>
          <w:sz w:val="20"/>
        </w:rPr>
      </w:pPr>
      <w:r>
        <w:rPr>
          <w:sz w:val="20"/>
        </w:rPr>
        <w:t xml:space="preserve">Direct Indication was introduced for eMTC and allows a UE to not acquire the PDSCH and is a more efficient manner of </w:t>
      </w:r>
      <w:r w:rsidR="00701CD1">
        <w:rPr>
          <w:sz w:val="20"/>
        </w:rPr>
        <w:t>signalling</w:t>
      </w:r>
      <w:r>
        <w:rPr>
          <w:sz w:val="20"/>
        </w:rPr>
        <w:t xml:space="preserve"> the PWS indication. For 5G, it is only supported to signal the PWS indication via Direct Indication. </w:t>
      </w:r>
    </w:p>
    <w:p w14:paraId="4E6B6B70" w14:textId="183D8785" w:rsidR="00B70092" w:rsidRDefault="0071198E" w:rsidP="00AF4DB9">
      <w:pPr>
        <w:pStyle w:val="PatentBody"/>
        <w:numPr>
          <w:ilvl w:val="0"/>
          <w:numId w:val="0"/>
        </w:numPr>
        <w:spacing w:after="180" w:line="240" w:lineRule="auto"/>
        <w:jc w:val="both"/>
        <w:rPr>
          <w:sz w:val="20"/>
        </w:rPr>
      </w:pPr>
      <w:r>
        <w:rPr>
          <w:sz w:val="20"/>
        </w:rPr>
        <w:t xml:space="preserve">One technical </w:t>
      </w:r>
      <w:r w:rsidR="00B70092">
        <w:rPr>
          <w:sz w:val="20"/>
        </w:rPr>
        <w:t>issue with potentially using</w:t>
      </w:r>
      <w:r>
        <w:rPr>
          <w:sz w:val="20"/>
        </w:rPr>
        <w:t xml:space="preserve"> </w:t>
      </w:r>
      <w:r w:rsidRPr="0071198E">
        <w:rPr>
          <w:i/>
          <w:sz w:val="20"/>
        </w:rPr>
        <w:t>Paging-NB</w:t>
      </w:r>
      <w:r>
        <w:rPr>
          <w:sz w:val="20"/>
        </w:rPr>
        <w:t xml:space="preserve"> to signal</w:t>
      </w:r>
      <w:r w:rsidR="00B70092">
        <w:rPr>
          <w:sz w:val="20"/>
        </w:rPr>
        <w:t xml:space="preserve"> </w:t>
      </w:r>
      <w:r w:rsidR="00B70092" w:rsidRPr="0071198E">
        <w:rPr>
          <w:i/>
          <w:sz w:val="20"/>
        </w:rPr>
        <w:t>etws-Indication</w:t>
      </w:r>
      <w:r w:rsidR="00B70092">
        <w:rPr>
          <w:sz w:val="20"/>
        </w:rPr>
        <w:t xml:space="preserve"> and </w:t>
      </w:r>
      <w:r w:rsidR="00B70092" w:rsidRPr="0071198E">
        <w:rPr>
          <w:i/>
          <w:sz w:val="20"/>
        </w:rPr>
        <w:t>cmas-Indication</w:t>
      </w:r>
      <w:r w:rsidR="00B70092">
        <w:rPr>
          <w:sz w:val="20"/>
        </w:rPr>
        <w:t xml:space="preserve"> is that it may affect legacy UEs that are not capable of receiving the ETWS and CMAS indication. These UEs would still be forced to acquire the PDSCH and would not find a matching UE ID. </w:t>
      </w:r>
      <w:r>
        <w:rPr>
          <w:sz w:val="20"/>
        </w:rPr>
        <w:t xml:space="preserve">For Direct Indication, the design is already more forwards-compatible and the specification of a specific release will already instruct the UE to ignore any value received in the Direct Indication that the UE does not support. Therefore we think that there is no need to add ETWS or CMAS indication to </w:t>
      </w:r>
      <w:r w:rsidRPr="0071198E">
        <w:rPr>
          <w:i/>
          <w:sz w:val="20"/>
        </w:rPr>
        <w:t>Paging-NB</w:t>
      </w:r>
      <w:r w:rsidR="005B4B48">
        <w:rPr>
          <w:sz w:val="20"/>
        </w:rPr>
        <w:t xml:space="preserve"> as there is no technical purpose for it</w:t>
      </w:r>
      <w:r>
        <w:rPr>
          <w:sz w:val="20"/>
        </w:rPr>
        <w:t>.</w:t>
      </w:r>
      <w:r w:rsidR="00993B7C">
        <w:rPr>
          <w:sz w:val="20"/>
        </w:rPr>
        <w:t xml:space="preserve"> </w:t>
      </w:r>
      <w:r>
        <w:rPr>
          <w:sz w:val="20"/>
        </w:rPr>
        <w:t xml:space="preserve"> </w:t>
      </w:r>
    </w:p>
    <w:p w14:paraId="419FE1C2" w14:textId="1C384F22" w:rsidR="00873E36" w:rsidRDefault="00873E36" w:rsidP="00873E36">
      <w:pPr>
        <w:spacing w:after="60"/>
        <w:rPr>
          <w:b/>
        </w:rPr>
      </w:pPr>
      <w:r>
        <w:rPr>
          <w:b/>
        </w:rPr>
        <w:t xml:space="preserve">Proposal </w:t>
      </w:r>
      <w:r w:rsidR="0071198E">
        <w:rPr>
          <w:b/>
        </w:rPr>
        <w:t>1</w:t>
      </w:r>
      <w:r>
        <w:rPr>
          <w:b/>
        </w:rPr>
        <w:t xml:space="preserve">: ETWS or CMAS indication is not added to Paging-NB. </w:t>
      </w:r>
    </w:p>
    <w:p w14:paraId="1A245F5B" w14:textId="37407D54" w:rsidR="004B521A" w:rsidRDefault="004B521A" w:rsidP="00AF4DB9">
      <w:pPr>
        <w:pStyle w:val="PatentBody"/>
        <w:numPr>
          <w:ilvl w:val="0"/>
          <w:numId w:val="0"/>
        </w:numPr>
        <w:spacing w:after="180" w:line="240" w:lineRule="auto"/>
        <w:jc w:val="both"/>
        <w:rPr>
          <w:sz w:val="20"/>
        </w:rPr>
      </w:pPr>
    </w:p>
    <w:p w14:paraId="10FDDFE7" w14:textId="5277B1FD" w:rsidR="0025487E" w:rsidRPr="0025487E" w:rsidRDefault="00DC7F02" w:rsidP="0025487E">
      <w:pPr>
        <w:pStyle w:val="Heading2"/>
      </w:pPr>
      <w:r>
        <w:t>Connected mode indication</w:t>
      </w:r>
    </w:p>
    <w:p w14:paraId="6EEF6B0B" w14:textId="26F08F81" w:rsidR="00DC7F02" w:rsidRDefault="004B4EF1" w:rsidP="00AF4DB9">
      <w:pPr>
        <w:pStyle w:val="PatentBody"/>
        <w:numPr>
          <w:ilvl w:val="0"/>
          <w:numId w:val="0"/>
        </w:numPr>
        <w:spacing w:after="180" w:line="240" w:lineRule="auto"/>
        <w:jc w:val="both"/>
        <w:rPr>
          <w:sz w:val="20"/>
        </w:rPr>
      </w:pPr>
      <w:r>
        <w:rPr>
          <w:sz w:val="20"/>
        </w:rPr>
        <w:t>As mentioned above, in eMTC and ordinary LTE,</w:t>
      </w:r>
      <w:r w:rsidR="00734AAA">
        <w:rPr>
          <w:sz w:val="20"/>
        </w:rPr>
        <w:t xml:space="preserve"> UE</w:t>
      </w:r>
      <w:r>
        <w:rPr>
          <w:sz w:val="20"/>
        </w:rPr>
        <w:t xml:space="preserve"> can receive emergency indication in connected mode. For ordinary LTE, the UE will monitor for P-RNTI in connected mode and in eMTC Rel-16 an enhancement was introduced to allow for the UE to monitor for Direct Indications on SI-RNTI. </w:t>
      </w:r>
    </w:p>
    <w:p w14:paraId="5D52938E" w14:textId="61E61D3A" w:rsidR="00734AAA" w:rsidRDefault="00EA4947" w:rsidP="00AF4DB9">
      <w:pPr>
        <w:pStyle w:val="PatentBody"/>
        <w:numPr>
          <w:ilvl w:val="0"/>
          <w:numId w:val="0"/>
        </w:numPr>
        <w:spacing w:after="180" w:line="240" w:lineRule="auto"/>
        <w:jc w:val="both"/>
        <w:rPr>
          <w:sz w:val="20"/>
        </w:rPr>
      </w:pPr>
      <w:r>
        <w:rPr>
          <w:sz w:val="20"/>
        </w:rPr>
        <w:t xml:space="preserve">Being able to receive the emergency indications is important in connected mode as the UE shall attempt to acquire the emergency indication as fast as possible. We believe that the same motivation holds for NB-IoT NTN, i.e that a UE shall attempt to acquire PWS broadcasting as fast as possible. In fact, since the delays in NB-IoT are expected to take longer, we believe it is more crucial that starting to receive the PWS broadcast as fast as possible is more important. </w:t>
      </w:r>
    </w:p>
    <w:p w14:paraId="0C4378E7" w14:textId="156C8914" w:rsidR="00EA4947" w:rsidRPr="008B4395" w:rsidRDefault="00EA4947" w:rsidP="00EA4947">
      <w:pPr>
        <w:spacing w:after="60"/>
        <w:rPr>
          <w:lang w:val="en-GB" w:eastAsia="en-US"/>
        </w:rPr>
      </w:pPr>
      <w:r>
        <w:rPr>
          <w:b/>
        </w:rPr>
        <w:t xml:space="preserve">Observation 3: Due to the associated delays in NB-IoT and NTN, it is important that UE start to acquire PWS broadcasting as fast as possible. </w:t>
      </w:r>
    </w:p>
    <w:p w14:paraId="3A255DA7" w14:textId="67F01C09" w:rsidR="00EA4947" w:rsidRDefault="00EA4947" w:rsidP="00AF4DB9">
      <w:pPr>
        <w:pStyle w:val="PatentBody"/>
        <w:numPr>
          <w:ilvl w:val="0"/>
          <w:numId w:val="0"/>
        </w:numPr>
        <w:spacing w:after="180" w:line="240" w:lineRule="auto"/>
        <w:jc w:val="both"/>
        <w:rPr>
          <w:sz w:val="20"/>
        </w:rPr>
      </w:pPr>
      <w:r>
        <w:rPr>
          <w:sz w:val="20"/>
        </w:rPr>
        <w:t xml:space="preserve">However, requiring a UE to monitor a new RNTI is against the design of NB-IoT to keep the device low complexity and power efficient. </w:t>
      </w:r>
      <w:r w:rsidR="00437AD7">
        <w:rPr>
          <w:sz w:val="20"/>
        </w:rPr>
        <w:t xml:space="preserve">Therefore there must be other ways to notify the UE that PWS is being broadcasted and to indicate to the UE to start acquiring the PWS broadcast. One method could be that the network indicates in a dedicated fashion to each connected mode UE that is capable of receiving PWS broadcast. </w:t>
      </w:r>
    </w:p>
    <w:p w14:paraId="7526F94C" w14:textId="5B441B2C" w:rsidR="00437AD7" w:rsidRDefault="00437AD7" w:rsidP="00437AD7">
      <w:pPr>
        <w:spacing w:after="60"/>
        <w:rPr>
          <w:b/>
        </w:rPr>
      </w:pPr>
      <w:r>
        <w:rPr>
          <w:b/>
        </w:rPr>
        <w:t xml:space="preserve">Proposal 2: Support a dedicated indication of PWS broadcasting to NB-IoT UE in connected mode. </w:t>
      </w:r>
    </w:p>
    <w:p w14:paraId="1FFDB4F3" w14:textId="46444075" w:rsidR="004B521A" w:rsidRDefault="004B521A" w:rsidP="00AF4DB9">
      <w:pPr>
        <w:pStyle w:val="PatentBody"/>
        <w:numPr>
          <w:ilvl w:val="0"/>
          <w:numId w:val="0"/>
        </w:numPr>
        <w:spacing w:after="180" w:line="240" w:lineRule="auto"/>
        <w:jc w:val="both"/>
        <w:rPr>
          <w:sz w:val="20"/>
        </w:rPr>
      </w:pPr>
    </w:p>
    <w:p w14:paraId="3DB7E796" w14:textId="13156301" w:rsidR="004B521A" w:rsidRPr="0025487E" w:rsidRDefault="004B521A" w:rsidP="004B521A">
      <w:pPr>
        <w:pStyle w:val="Heading2"/>
      </w:pPr>
      <w:r>
        <w:t>Idle mode operation</w:t>
      </w:r>
      <w:r w:rsidR="00437AD7">
        <w:t xml:space="preserve"> for PWS broadcasting</w:t>
      </w:r>
    </w:p>
    <w:p w14:paraId="4BC89580" w14:textId="1F808AD8" w:rsidR="00DC7F02" w:rsidRDefault="00437AD7" w:rsidP="00AF4DB9">
      <w:pPr>
        <w:pStyle w:val="PatentBody"/>
        <w:numPr>
          <w:ilvl w:val="0"/>
          <w:numId w:val="0"/>
        </w:numPr>
        <w:spacing w:after="180" w:line="240" w:lineRule="auto"/>
        <w:jc w:val="both"/>
        <w:rPr>
          <w:sz w:val="20"/>
        </w:rPr>
      </w:pPr>
      <w:r>
        <w:rPr>
          <w:sz w:val="20"/>
        </w:rPr>
        <w:t>In eMTC and normal LTE it is supported to camp on a cell and then receive PWS broadcasting. As long as the UE is camping on a cell, the UE shall acquire PWS broadcasting. This is regardless whether the cell that the UE camps o</w:t>
      </w:r>
      <w:r w:rsidR="00AE01A8">
        <w:rPr>
          <w:sz w:val="20"/>
        </w:rPr>
        <w:t>n is considered a suitable cell or</w:t>
      </w:r>
      <w:r>
        <w:rPr>
          <w:sz w:val="20"/>
        </w:rPr>
        <w:t xml:space="preserve"> an acceptable cell. </w:t>
      </w:r>
      <w:r w:rsidR="00AE01A8">
        <w:rPr>
          <w:sz w:val="20"/>
        </w:rPr>
        <w:t xml:space="preserve">This means that the UE can always receive PWS broadcasting, even if the UE is not camping on the selected, registered or an equivalent PLMN. </w:t>
      </w:r>
    </w:p>
    <w:p w14:paraId="258B93D1" w14:textId="1E6C7327" w:rsidR="00AE01A8" w:rsidRDefault="00AE01A8" w:rsidP="00AF4DB9">
      <w:pPr>
        <w:pStyle w:val="PatentBody"/>
        <w:numPr>
          <w:ilvl w:val="0"/>
          <w:numId w:val="0"/>
        </w:numPr>
        <w:spacing w:after="180" w:line="240" w:lineRule="auto"/>
        <w:jc w:val="both"/>
        <w:rPr>
          <w:sz w:val="20"/>
        </w:rPr>
      </w:pPr>
      <w:r>
        <w:rPr>
          <w:sz w:val="20"/>
        </w:rPr>
        <w:t>For NB-IoT, the UE can only camp on a suitable cell, meaning that “acceptable cells” does not exist in NB-IoT. This is because there was never any reason for this to exist. In NB-IoT NTN PWS broadcasting, o</w:t>
      </w:r>
      <w:r w:rsidR="005B4B48">
        <w:rPr>
          <w:sz w:val="20"/>
        </w:rPr>
        <w:t>ne of the key</w:t>
      </w:r>
      <w:r>
        <w:rPr>
          <w:sz w:val="20"/>
        </w:rPr>
        <w:t xml:space="preserve"> scenarios is UE is a normal UE that is 4G/5G capable, which is also capable of NB-IoT NTN for emergency situations. In this case, the UE may need be able to camp on an NB-IoT NTN cell only for the purpose of receiving emergency broadcasts. We think that this scenario is a valid use case. </w:t>
      </w:r>
    </w:p>
    <w:p w14:paraId="080CC8AB" w14:textId="229C8363" w:rsidR="00AE01A8" w:rsidRDefault="00AE01A8" w:rsidP="00AE01A8">
      <w:pPr>
        <w:spacing w:after="60"/>
        <w:rPr>
          <w:b/>
        </w:rPr>
      </w:pPr>
      <w:r>
        <w:rPr>
          <w:b/>
        </w:rPr>
        <w:t>Proposal 3: A UE shall be able to camp</w:t>
      </w:r>
      <w:r w:rsidR="00AB7D15">
        <w:rPr>
          <w:b/>
        </w:rPr>
        <w:t xml:space="preserve"> on an NB-IoT NTN cell only for</w:t>
      </w:r>
      <w:r w:rsidR="00CD1D6A">
        <w:rPr>
          <w:b/>
        </w:rPr>
        <w:t xml:space="preserve"> the purpose of</w:t>
      </w:r>
      <w:r w:rsidR="00AB7D15">
        <w:rPr>
          <w:b/>
        </w:rPr>
        <w:t xml:space="preserve"> receiving emergency broadcast</w:t>
      </w:r>
      <w:r>
        <w:rPr>
          <w:b/>
        </w:rPr>
        <w:t xml:space="preserve">. </w:t>
      </w:r>
    </w:p>
    <w:p w14:paraId="422BD9F0" w14:textId="01A2B7DA" w:rsidR="00B631B3" w:rsidRDefault="00B631B3"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7ADEB78E" w:rsidR="00C060FE" w:rsidRDefault="006D4D6F" w:rsidP="00FA3474">
      <w:pPr>
        <w:rPr>
          <w:lang w:eastAsia="ko-KR"/>
        </w:rPr>
      </w:pPr>
      <w:r w:rsidRPr="00F97E01">
        <w:rPr>
          <w:lang w:eastAsia="ko-KR"/>
        </w:rPr>
        <w:t xml:space="preserve">In this </w:t>
      </w:r>
      <w:r w:rsidR="004506C8" w:rsidRPr="00F97E01">
        <w:rPr>
          <w:lang w:eastAsia="ko-KR"/>
        </w:rPr>
        <w:t>contribution,</w:t>
      </w:r>
      <w:r w:rsidRPr="00F97E01">
        <w:rPr>
          <w:lang w:eastAsia="ko-KR"/>
        </w:rPr>
        <w:t xml:space="preserve"> we discuss</w:t>
      </w:r>
      <w:r w:rsidR="00793B9D">
        <w:rPr>
          <w:lang w:eastAsia="ko-KR"/>
        </w:rPr>
        <w:t>ed</w:t>
      </w:r>
      <w:r w:rsidRPr="00F97E01">
        <w:rPr>
          <w:lang w:eastAsia="ko-KR"/>
        </w:rPr>
        <w:t xml:space="preserve"> </w:t>
      </w:r>
      <w:r w:rsidR="002D59A1">
        <w:rPr>
          <w:lang w:eastAsia="ko-KR"/>
        </w:rPr>
        <w:t xml:space="preserve">issues </w:t>
      </w:r>
      <w:r w:rsidR="004506C8">
        <w:rPr>
          <w:lang w:eastAsia="ko-KR"/>
        </w:rPr>
        <w:t>related to PWS signaling for NB-IoT</w:t>
      </w:r>
      <w:r w:rsidR="002D59A1">
        <w:rPr>
          <w:lang w:eastAsia="ko-KR"/>
        </w:rPr>
        <w:t xml:space="preserve">. </w:t>
      </w:r>
    </w:p>
    <w:p w14:paraId="68BAD934" w14:textId="77777777" w:rsidR="00AE743D" w:rsidRPr="008B4395" w:rsidRDefault="00AE743D" w:rsidP="00AE743D">
      <w:pPr>
        <w:spacing w:after="60"/>
        <w:rPr>
          <w:lang w:val="en-GB" w:eastAsia="en-US"/>
        </w:rPr>
      </w:pPr>
      <w:r>
        <w:rPr>
          <w:b/>
        </w:rPr>
        <w:t xml:space="preserve">Observation 1: PWS is broadcasted via ETWS in SIB10 and SIB11 and CMAS in SIB12. </w:t>
      </w:r>
    </w:p>
    <w:p w14:paraId="1A92B6F0" w14:textId="69A9886F" w:rsidR="00AE743D" w:rsidRPr="008B4395" w:rsidRDefault="00AE743D" w:rsidP="00AE743D">
      <w:pPr>
        <w:spacing w:after="60"/>
        <w:rPr>
          <w:lang w:val="en-GB" w:eastAsia="en-US"/>
        </w:rPr>
      </w:pPr>
      <w:r>
        <w:rPr>
          <w:b/>
        </w:rPr>
        <w:lastRenderedPageBreak/>
        <w:t xml:space="preserve">Observation 2: </w:t>
      </w:r>
      <w:r w:rsidR="00FA3ADE">
        <w:rPr>
          <w:b/>
        </w:rPr>
        <w:t xml:space="preserve">eMTC </w:t>
      </w:r>
      <w:r>
        <w:rPr>
          <w:b/>
        </w:rPr>
        <w:t xml:space="preserve">UE monitors P-RNTI for ETWS and CMAS indication in RRC idle and monitors SI-RNTI in connected mode. </w:t>
      </w:r>
    </w:p>
    <w:p w14:paraId="3FBDA73E" w14:textId="1DB79297" w:rsidR="007A5166" w:rsidRPr="008B4395" w:rsidRDefault="007A5166" w:rsidP="007A5166">
      <w:pPr>
        <w:spacing w:after="60"/>
        <w:rPr>
          <w:lang w:val="en-GB" w:eastAsia="en-US"/>
        </w:rPr>
      </w:pPr>
    </w:p>
    <w:p w14:paraId="4508010E" w14:textId="77777777" w:rsidR="001D32CA" w:rsidRDefault="001D32CA" w:rsidP="001D32CA">
      <w:pPr>
        <w:spacing w:after="60"/>
        <w:rPr>
          <w:b/>
        </w:rPr>
      </w:pPr>
      <w:r>
        <w:rPr>
          <w:b/>
        </w:rPr>
        <w:t xml:space="preserve">Proposal 1: ETWS or CMAS indication is not added to Paging-NB. </w:t>
      </w:r>
    </w:p>
    <w:p w14:paraId="03537FFB" w14:textId="77777777" w:rsidR="001D32CA" w:rsidRDefault="001D32CA" w:rsidP="001D32CA">
      <w:pPr>
        <w:spacing w:after="60"/>
        <w:rPr>
          <w:b/>
        </w:rPr>
      </w:pPr>
      <w:r>
        <w:rPr>
          <w:b/>
        </w:rPr>
        <w:t xml:space="preserve">Proposal 2: Support a dedicated indication of PWS broadcasting to NB-IoT UE in connected mode. </w:t>
      </w:r>
    </w:p>
    <w:p w14:paraId="636BBE4C" w14:textId="03B3C21E" w:rsidR="00FF4C4F" w:rsidRDefault="001D32CA" w:rsidP="00C62E02">
      <w:pPr>
        <w:spacing w:after="60"/>
        <w:rPr>
          <w:b/>
        </w:rPr>
      </w:pPr>
      <w:r>
        <w:rPr>
          <w:b/>
        </w:rPr>
        <w:t xml:space="preserve">Proposal 3: A UE shall be able to camp on an NB-IoT NTN cell only for the purpose of receiving emergency broadcast. </w:t>
      </w:r>
      <w:bookmarkStart w:id="14" w:name="_GoBack"/>
      <w:bookmarkEnd w:id="14"/>
    </w:p>
    <w:p w14:paraId="6408D72B" w14:textId="59651DF4" w:rsidR="0083484D" w:rsidRPr="00FF7C4E" w:rsidRDefault="00051DF8" w:rsidP="0083484D">
      <w:pPr>
        <w:pStyle w:val="Heading1"/>
      </w:pPr>
      <w:r>
        <w:t>Reference</w:t>
      </w:r>
      <w:r w:rsidR="0083484D" w:rsidRPr="00001886">
        <w:t xml:space="preserve"> </w:t>
      </w:r>
    </w:p>
    <w:p w14:paraId="5EBEF5DB" w14:textId="15D5A761" w:rsidR="0049280D" w:rsidRPr="003D7E84" w:rsidRDefault="0049280D" w:rsidP="00BF409E">
      <w:pPr>
        <w:pStyle w:val="references"/>
        <w:spacing w:after="180" w:line="240" w:lineRule="auto"/>
        <w:rPr>
          <w:szCs w:val="20"/>
        </w:rPr>
      </w:pPr>
      <w:r>
        <w:rPr>
          <w:rFonts w:ascii="Arial" w:hAnsi="Arial" w:cs="Arial"/>
          <w:szCs w:val="20"/>
        </w:rPr>
        <w:t>RP-24</w:t>
      </w:r>
      <w:r w:rsidR="00D95760">
        <w:rPr>
          <w:rFonts w:ascii="Arial" w:hAnsi="Arial" w:cs="Arial"/>
          <w:szCs w:val="20"/>
        </w:rPr>
        <w:t>2397</w:t>
      </w:r>
      <w:r>
        <w:rPr>
          <w:rFonts w:ascii="Arial" w:hAnsi="Arial" w:cs="Arial"/>
          <w:szCs w:val="20"/>
        </w:rPr>
        <w:t>, Revised WID on Non-Terrestrial Networks (NTN) for Internet of Things (IoT) Phase 3, Mediatek, RAN#10</w:t>
      </w:r>
      <w:r w:rsidR="00D95760">
        <w:rPr>
          <w:rFonts w:ascii="Arial" w:hAnsi="Arial" w:cs="Arial"/>
          <w:szCs w:val="20"/>
        </w:rPr>
        <w:t>5</w:t>
      </w:r>
      <w:r>
        <w:rPr>
          <w:rFonts w:ascii="Arial" w:hAnsi="Arial" w:cs="Arial"/>
          <w:szCs w:val="20"/>
        </w:rPr>
        <w:t xml:space="preserve">, </w:t>
      </w:r>
      <w:r w:rsidR="00D95760">
        <w:rPr>
          <w:rFonts w:ascii="Arial" w:hAnsi="Arial" w:cs="Arial"/>
          <w:szCs w:val="20"/>
        </w:rPr>
        <w:t>Melbourne, Australia, September</w:t>
      </w:r>
      <w:r>
        <w:rPr>
          <w:rFonts w:ascii="Arial" w:hAnsi="Arial" w:cs="Arial"/>
          <w:szCs w:val="20"/>
        </w:rPr>
        <w:t xml:space="preserve"> 2024</w:t>
      </w:r>
      <w:r w:rsidR="00D95760">
        <w:rPr>
          <w:rFonts w:ascii="Arial" w:hAnsi="Arial" w:cs="Arial"/>
          <w:szCs w:val="20"/>
        </w:rPr>
        <w:t>.</w:t>
      </w:r>
    </w:p>
    <w:p w14:paraId="7ADE167B" w14:textId="71CE2659" w:rsidR="00852487" w:rsidRPr="0049280D" w:rsidRDefault="00852487" w:rsidP="00BF409E">
      <w:pPr>
        <w:pStyle w:val="references"/>
        <w:spacing w:after="180" w:line="240" w:lineRule="auto"/>
        <w:rPr>
          <w:szCs w:val="20"/>
        </w:rPr>
      </w:pPr>
      <w:r>
        <w:rPr>
          <w:rFonts w:ascii="Arial" w:hAnsi="Arial" w:cs="Arial"/>
          <w:szCs w:val="20"/>
        </w:rPr>
        <w:t>3GPP</w:t>
      </w:r>
      <w:r w:rsidR="00A51F2B">
        <w:rPr>
          <w:rFonts w:ascii="Arial" w:hAnsi="Arial" w:cs="Arial"/>
          <w:szCs w:val="20"/>
        </w:rPr>
        <w:t xml:space="preserve"> TS</w:t>
      </w:r>
      <w:r>
        <w:rPr>
          <w:rFonts w:ascii="Arial" w:hAnsi="Arial" w:cs="Arial"/>
          <w:szCs w:val="20"/>
        </w:rPr>
        <w:t xml:space="preserve"> 23.401 “</w:t>
      </w:r>
      <w:r w:rsidR="00A51F2B">
        <w:rPr>
          <w:rFonts w:ascii="Arial" w:hAnsi="Arial" w:cs="Arial"/>
          <w:szCs w:val="20"/>
        </w:rPr>
        <w:t>General Packet Radio Service (GPRS) enhancements for Evolved Universal Terrestrial Radio Access Network (E-UTRAN) access</w:t>
      </w:r>
      <w:r>
        <w:rPr>
          <w:rFonts w:ascii="Arial" w:hAnsi="Arial" w:cs="Arial"/>
          <w:szCs w:val="20"/>
        </w:rPr>
        <w:t>”</w:t>
      </w:r>
      <w:r w:rsidR="00A51F2B">
        <w:rPr>
          <w:rFonts w:ascii="Arial" w:hAnsi="Arial" w:cs="Arial"/>
          <w:szCs w:val="20"/>
        </w:rPr>
        <w:t>, Release 1</w:t>
      </w:r>
      <w:r w:rsidR="00C87AC0">
        <w:rPr>
          <w:rFonts w:ascii="Arial" w:hAnsi="Arial" w:cs="Arial"/>
          <w:szCs w:val="20"/>
        </w:rPr>
        <w:t>9</w:t>
      </w:r>
      <w:r w:rsidR="003A4B2A">
        <w:rPr>
          <w:rFonts w:ascii="Arial" w:hAnsi="Arial" w:cs="Arial"/>
          <w:szCs w:val="20"/>
        </w:rPr>
        <w:t>, V19.0</w:t>
      </w:r>
      <w:r w:rsidR="00A51F2B">
        <w:rPr>
          <w:rFonts w:ascii="Arial" w:hAnsi="Arial" w:cs="Arial"/>
          <w:szCs w:val="20"/>
        </w:rPr>
        <w:t xml:space="preserve">.0, </w:t>
      </w:r>
      <w:r w:rsidR="003A4B2A">
        <w:rPr>
          <w:rFonts w:ascii="Arial" w:hAnsi="Arial" w:cs="Arial"/>
          <w:szCs w:val="20"/>
        </w:rPr>
        <w:t>September</w:t>
      </w:r>
      <w:r w:rsidR="00A51F2B">
        <w:rPr>
          <w:rFonts w:ascii="Arial" w:hAnsi="Arial" w:cs="Arial"/>
          <w:szCs w:val="20"/>
        </w:rPr>
        <w:t xml:space="preserve"> 2024.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C2F705" w16cid:durableId="2AD658A4"/>
  <w16cid:commentId w16cid:paraId="38951D73" w16cid:durableId="2AD65D7C"/>
  <w16cid:commentId w16cid:paraId="42829FE4" w16cid:durableId="2AD65D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E7F5E" w14:textId="77777777" w:rsidR="002528A9" w:rsidRDefault="002528A9" w:rsidP="00051DF8">
      <w:r>
        <w:separator/>
      </w:r>
    </w:p>
  </w:endnote>
  <w:endnote w:type="continuationSeparator" w:id="0">
    <w:p w14:paraId="19425230" w14:textId="77777777" w:rsidR="002528A9" w:rsidRDefault="002528A9" w:rsidP="00051DF8">
      <w:r>
        <w:continuationSeparator/>
      </w:r>
    </w:p>
  </w:endnote>
  <w:endnote w:type="continuationNotice" w:id="1">
    <w:p w14:paraId="61453D01" w14:textId="77777777" w:rsidR="002528A9" w:rsidRDefault="002528A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820B2" w14:textId="77777777" w:rsidR="002528A9" w:rsidRDefault="002528A9" w:rsidP="00051DF8">
      <w:r>
        <w:separator/>
      </w:r>
    </w:p>
  </w:footnote>
  <w:footnote w:type="continuationSeparator" w:id="0">
    <w:p w14:paraId="09FE2539" w14:textId="77777777" w:rsidR="002528A9" w:rsidRDefault="002528A9" w:rsidP="00051DF8">
      <w:r>
        <w:continuationSeparator/>
      </w:r>
    </w:p>
  </w:footnote>
  <w:footnote w:type="continuationNotice" w:id="1">
    <w:p w14:paraId="2CF859F7" w14:textId="77777777" w:rsidR="002528A9" w:rsidRDefault="002528A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7"/>
  </w:num>
  <w:num w:numId="6">
    <w:abstractNumId w:val="6"/>
  </w:num>
  <w:num w:numId="7">
    <w:abstractNumId w:val="0"/>
  </w:num>
  <w:num w:numId="8">
    <w:abstractNumId w:val="8"/>
  </w:num>
  <w:num w:numId="9">
    <w:abstractNumId w:val="3"/>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DBC"/>
    <w:rsid w:val="00064E50"/>
    <w:rsid w:val="00065268"/>
    <w:rsid w:val="00067854"/>
    <w:rsid w:val="00070BD9"/>
    <w:rsid w:val="00071C4F"/>
    <w:rsid w:val="00072646"/>
    <w:rsid w:val="00072D84"/>
    <w:rsid w:val="00073C9C"/>
    <w:rsid w:val="0007792A"/>
    <w:rsid w:val="00080512"/>
    <w:rsid w:val="00081240"/>
    <w:rsid w:val="000824A8"/>
    <w:rsid w:val="0008378E"/>
    <w:rsid w:val="00085269"/>
    <w:rsid w:val="00086753"/>
    <w:rsid w:val="00090468"/>
    <w:rsid w:val="00090CD4"/>
    <w:rsid w:val="000914AC"/>
    <w:rsid w:val="00094568"/>
    <w:rsid w:val="00094C1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2E30"/>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5FAB"/>
    <w:rsid w:val="001767C8"/>
    <w:rsid w:val="00180692"/>
    <w:rsid w:val="0018139B"/>
    <w:rsid w:val="00181483"/>
    <w:rsid w:val="00182E67"/>
    <w:rsid w:val="0018307F"/>
    <w:rsid w:val="00183778"/>
    <w:rsid w:val="001841BF"/>
    <w:rsid w:val="001845D5"/>
    <w:rsid w:val="00184F07"/>
    <w:rsid w:val="0018515E"/>
    <w:rsid w:val="00185529"/>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32CA"/>
    <w:rsid w:val="001D6647"/>
    <w:rsid w:val="001E2E76"/>
    <w:rsid w:val="001E2FCC"/>
    <w:rsid w:val="001E44A9"/>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661D"/>
    <w:rsid w:val="0024157F"/>
    <w:rsid w:val="00241AC5"/>
    <w:rsid w:val="0024324A"/>
    <w:rsid w:val="00243B50"/>
    <w:rsid w:val="00243DE1"/>
    <w:rsid w:val="00244A05"/>
    <w:rsid w:val="002455B8"/>
    <w:rsid w:val="00247550"/>
    <w:rsid w:val="0025025C"/>
    <w:rsid w:val="002502EB"/>
    <w:rsid w:val="00250404"/>
    <w:rsid w:val="00250645"/>
    <w:rsid w:val="002508F7"/>
    <w:rsid w:val="002528A9"/>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97702"/>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2AB7"/>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5919"/>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4F6"/>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364"/>
    <w:rsid w:val="00431669"/>
    <w:rsid w:val="0043208C"/>
    <w:rsid w:val="004322B3"/>
    <w:rsid w:val="00432BC9"/>
    <w:rsid w:val="00432BE2"/>
    <w:rsid w:val="00432F4A"/>
    <w:rsid w:val="00434571"/>
    <w:rsid w:val="00437AD7"/>
    <w:rsid w:val="00441FD9"/>
    <w:rsid w:val="004433CF"/>
    <w:rsid w:val="0044406B"/>
    <w:rsid w:val="0044738E"/>
    <w:rsid w:val="004506C8"/>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4EDB"/>
    <w:rsid w:val="00487060"/>
    <w:rsid w:val="004901A6"/>
    <w:rsid w:val="00490325"/>
    <w:rsid w:val="00490B45"/>
    <w:rsid w:val="00490C92"/>
    <w:rsid w:val="00490EA3"/>
    <w:rsid w:val="0049280D"/>
    <w:rsid w:val="00492A25"/>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4EF1"/>
    <w:rsid w:val="004B521A"/>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270A"/>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0E9"/>
    <w:rsid w:val="00555852"/>
    <w:rsid w:val="00557338"/>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3A0C"/>
    <w:rsid w:val="005B4B48"/>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55B6"/>
    <w:rsid w:val="006563B9"/>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3A7D"/>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A674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29A9"/>
    <w:rsid w:val="006F4552"/>
    <w:rsid w:val="006F4A1F"/>
    <w:rsid w:val="006F4C4E"/>
    <w:rsid w:val="006F69EC"/>
    <w:rsid w:val="006F6A2C"/>
    <w:rsid w:val="00701313"/>
    <w:rsid w:val="00701323"/>
    <w:rsid w:val="00701CD1"/>
    <w:rsid w:val="007029D0"/>
    <w:rsid w:val="00704BA9"/>
    <w:rsid w:val="00705BC0"/>
    <w:rsid w:val="00705EFC"/>
    <w:rsid w:val="007069DC"/>
    <w:rsid w:val="00710201"/>
    <w:rsid w:val="007102CD"/>
    <w:rsid w:val="0071056C"/>
    <w:rsid w:val="00710D4C"/>
    <w:rsid w:val="0071194B"/>
    <w:rsid w:val="0071198E"/>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4AAA"/>
    <w:rsid w:val="0073620F"/>
    <w:rsid w:val="00737B6B"/>
    <w:rsid w:val="00740C0A"/>
    <w:rsid w:val="00741328"/>
    <w:rsid w:val="00742288"/>
    <w:rsid w:val="00742482"/>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166"/>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390F"/>
    <w:rsid w:val="007E43E4"/>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6C8C"/>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3E36"/>
    <w:rsid w:val="00875EB1"/>
    <w:rsid w:val="008768CA"/>
    <w:rsid w:val="00877BFB"/>
    <w:rsid w:val="00877EF9"/>
    <w:rsid w:val="00880559"/>
    <w:rsid w:val="00880811"/>
    <w:rsid w:val="008818E2"/>
    <w:rsid w:val="00881B41"/>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163B"/>
    <w:rsid w:val="008A2511"/>
    <w:rsid w:val="008A2ABD"/>
    <w:rsid w:val="008A331F"/>
    <w:rsid w:val="008B3C42"/>
    <w:rsid w:val="008B4395"/>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44DA"/>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174"/>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3B7C"/>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3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554CA"/>
    <w:rsid w:val="00A607F6"/>
    <w:rsid w:val="00A60806"/>
    <w:rsid w:val="00A6319E"/>
    <w:rsid w:val="00A6351A"/>
    <w:rsid w:val="00A64AFF"/>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64C"/>
    <w:rsid w:val="00AB3DDD"/>
    <w:rsid w:val="00AB4454"/>
    <w:rsid w:val="00AB5823"/>
    <w:rsid w:val="00AB6344"/>
    <w:rsid w:val="00AB7D15"/>
    <w:rsid w:val="00AC4D2C"/>
    <w:rsid w:val="00AC507F"/>
    <w:rsid w:val="00AC5D59"/>
    <w:rsid w:val="00AC6256"/>
    <w:rsid w:val="00AC6887"/>
    <w:rsid w:val="00AC6E95"/>
    <w:rsid w:val="00AD3082"/>
    <w:rsid w:val="00AD6A7F"/>
    <w:rsid w:val="00AE01A8"/>
    <w:rsid w:val="00AE5D2D"/>
    <w:rsid w:val="00AE743D"/>
    <w:rsid w:val="00AF1733"/>
    <w:rsid w:val="00AF1776"/>
    <w:rsid w:val="00AF371E"/>
    <w:rsid w:val="00AF4DB9"/>
    <w:rsid w:val="00AF5CA0"/>
    <w:rsid w:val="00AF649F"/>
    <w:rsid w:val="00AF7C5F"/>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31B3"/>
    <w:rsid w:val="00B65060"/>
    <w:rsid w:val="00B657DE"/>
    <w:rsid w:val="00B65AA8"/>
    <w:rsid w:val="00B6672E"/>
    <w:rsid w:val="00B66E42"/>
    <w:rsid w:val="00B70092"/>
    <w:rsid w:val="00B70804"/>
    <w:rsid w:val="00B710DA"/>
    <w:rsid w:val="00B726D8"/>
    <w:rsid w:val="00B72962"/>
    <w:rsid w:val="00B73674"/>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5FBC"/>
    <w:rsid w:val="00BA7338"/>
    <w:rsid w:val="00BB12BA"/>
    <w:rsid w:val="00BB15DE"/>
    <w:rsid w:val="00BB1F15"/>
    <w:rsid w:val="00BB2334"/>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2E02"/>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D05A0"/>
    <w:rsid w:val="00CD0963"/>
    <w:rsid w:val="00CD0BA8"/>
    <w:rsid w:val="00CD14F3"/>
    <w:rsid w:val="00CD1D6A"/>
    <w:rsid w:val="00CD4948"/>
    <w:rsid w:val="00CD4A83"/>
    <w:rsid w:val="00CD4C7B"/>
    <w:rsid w:val="00CD4F02"/>
    <w:rsid w:val="00CD58FE"/>
    <w:rsid w:val="00CE08D1"/>
    <w:rsid w:val="00CE1B38"/>
    <w:rsid w:val="00CE31BB"/>
    <w:rsid w:val="00CE3B11"/>
    <w:rsid w:val="00CE7B23"/>
    <w:rsid w:val="00CF1441"/>
    <w:rsid w:val="00CF1E1A"/>
    <w:rsid w:val="00CF2423"/>
    <w:rsid w:val="00CF2EC4"/>
    <w:rsid w:val="00CF4D95"/>
    <w:rsid w:val="00CF6824"/>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26AD8"/>
    <w:rsid w:val="00D30635"/>
    <w:rsid w:val="00D30C9E"/>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3E38"/>
    <w:rsid w:val="00D843A6"/>
    <w:rsid w:val="00D854BE"/>
    <w:rsid w:val="00D87009"/>
    <w:rsid w:val="00D87E00"/>
    <w:rsid w:val="00D9134D"/>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F02"/>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4C81"/>
    <w:rsid w:val="00E1589E"/>
    <w:rsid w:val="00E15BD7"/>
    <w:rsid w:val="00E16BF5"/>
    <w:rsid w:val="00E21934"/>
    <w:rsid w:val="00E22129"/>
    <w:rsid w:val="00E223EE"/>
    <w:rsid w:val="00E24C00"/>
    <w:rsid w:val="00E253C2"/>
    <w:rsid w:val="00E262F2"/>
    <w:rsid w:val="00E26957"/>
    <w:rsid w:val="00E31765"/>
    <w:rsid w:val="00E37E4F"/>
    <w:rsid w:val="00E41B53"/>
    <w:rsid w:val="00E41C0F"/>
    <w:rsid w:val="00E41F8E"/>
    <w:rsid w:val="00E44801"/>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0CC2"/>
    <w:rsid w:val="00E91949"/>
    <w:rsid w:val="00E94C66"/>
    <w:rsid w:val="00E94D04"/>
    <w:rsid w:val="00E9509D"/>
    <w:rsid w:val="00E96CD0"/>
    <w:rsid w:val="00E96F95"/>
    <w:rsid w:val="00E97F72"/>
    <w:rsid w:val="00EA0DCF"/>
    <w:rsid w:val="00EA12F9"/>
    <w:rsid w:val="00EA3E27"/>
    <w:rsid w:val="00EA494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00B"/>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ADE"/>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FC"/>
    <w:rsid w:val="00FC7E40"/>
    <w:rsid w:val="00FD0A57"/>
    <w:rsid w:val="00FD2C9E"/>
    <w:rsid w:val="00FD385D"/>
    <w:rsid w:val="00FD6EDB"/>
    <w:rsid w:val="00FD70B9"/>
    <w:rsid w:val="00FE106D"/>
    <w:rsid w:val="00FE1C0F"/>
    <w:rsid w:val="00FE251B"/>
    <w:rsid w:val="00FE520E"/>
    <w:rsid w:val="00FE5400"/>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07B7C5E0-47C5-4013-83E0-4833EBE7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DC29A-3BDF-4261-AB57-DF1A1A9E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cp:lastModifiedBy>
  <cp:revision>8</cp:revision>
  <dcterms:created xsi:type="dcterms:W3CDTF">2024-11-07T11:04:00Z</dcterms:created>
  <dcterms:modified xsi:type="dcterms:W3CDTF">2024-11-08T08:55:00Z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